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การยื่นใบขนสินค้าขาเข้าทางอิเล็กทรอนิกส์เพื่อนำของเข้าในราชอาณาจักร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 1) การนำของเข้าในราชอาณาจักร หมายถึง การนำของใดๆ จากภายนอกราชอาณาจักรเข้ามาในราชราชอาณาจักรโดยการขนส่งทางเรือ ทางรถไฟ ทางรถยนต์ คนเดินเข้ามา ทางเครื่องบิน ทางไปรษณีย์ ทางท่อขนส่งทางบก ทางสายส่งไฟฟ้า ทางเรือที่เข้าออกด่านศุลกากรทางบก เรือเล็กทางทะเลที่เข้าออกด่านศุลกากรทางทะเล ทางผู้โดยสารนำพาขึ้นอากาศยาน เป็นต้น เพื่อนำเข้ามาในราชอาณาจักร</w:t>
        <w:br/>
        <w:t xml:space="preserve"/>
        <w:br/>
        <w:t xml:space="preserve"> 2) การผ่านพิธีการศุลกากรให้สามารถกระทำได้โดยวิธีการทางอิเล็กทรอนิกส์แบบไร้เอกสาร (Paperless) โดยส่งข้อมูลอิเล็กทรอนิกส์พร้อมลงลายมือชื่ออิเล็กทรอนิกส์ (Digital Signature) ของเจ้าของลายมือชื่อ ผ่านบุคคลที่เป็นสื่อกลางผู้ให้บริการรับส่งข้อมูลทางอิเล็กทรอนิกส์ (Value Added Network Services หรือ VANS) เข้าสู่ระบบคอมพิวเตอร์ของศุลกากรตามมาตรฐานที่ศุลกากรกำหนด (ebXML / XML Format) เสมือนจัดทำ ยื่น ส่ง รับเอกสารและการลงลายมือชื่อในกระดาษ</w:t>
        <w:br/>
        <w:t xml:space="preserve"/>
        <w:br/>
        <w:t xml:space="preserve"> 3) การยื่นใบขนสินค้าขาเข้า ผู้นำของเข้าต้องจัดทำข้อมูลใบขนสินค้าขาเข้าตามมาตรฐานที่ศุลกากรกำหนดและส่งข้อมูลดังกล่าวทางอิเล็กทรอนิกส์เข้าสู่ระบบคอมพิวเตอร์ของศุลกากร เมื่อระบบคอมพิวเตอร์ของศุลกากรได้ทำการตอบรับข้อมูลอิเล็กทรอนิกส์นั้นในการผ่านพิธีการแล้ว จะถือเป็นการยื่นเอกสารนั้นๆ ตามกฎหมายว่าด้วยศุลกากรและกฎหมายอื่นที่เกี่ยวข้องกับการศุลกากรแล้ว</w:t>
        <w:br/>
        <w:t xml:space="preserve"/>
        <w:br/>
        <w:t xml:space="preserve">วิธีการ</w:t>
        <w:br/>
        <w:t xml:space="preserve"/>
        <w:br/>
        <w:t xml:space="preserve"> ในการนำสินค้าเข้ามาในราชอาณาจักร ผู้นำของเข้าจะต้องจัดทำข้อมูลใบขนสินค้าขาเข้าตามมาตรฐานที่ศุลกากรกำหนดและส่งข้อมูลดังกล่าวเข้าสู่ระบบคอมพิวเตอร์ของศุลกากร ก่อนการขนย้ายของมายังท่า หรือที่ หรือสนามบิน เพื่อการนำของเข้ามาในราชอาณาจักร โดยวิธีการส่งข้อมูลใบขนสินค้าขาเข้าสามารถกระทำได้ 4 ช่องทาง</w:t>
        <w:br/>
        <w:t xml:space="preserve"/>
        <w:br/>
        <w:t xml:space="preserve"/>
        <w:br/>
        <w:t xml:space="preserve"/>
        <w:tab/>
        <w:t xml:space="preserve">ผู้นำเข้าส่งข้อมูลใบขนสินค้าขาเข้าด้วยตัวเอง</w:t>
        <w:br/>
        <w:t xml:space="preserve"/>
        <w:tab/>
        <w:t xml:space="preserve">ผู้นำเข้ามอบหมายให้ตัวแทนออกของ (Customs Broker) เป็นผู้ส่งข้อมูลแทน</w:t>
        <w:br/>
        <w:t xml:space="preserve"/>
        <w:tab/>
        <w:t xml:space="preserve">ผู้นำเข้าใช้เคาน์เตอร์บริการ (Service Counter) ในการส่งข้อมูล</w:t>
        <w:br/>
        <w:t xml:space="preserve"/>
        <w:tab/>
        <w:t xml:space="preserve">ผู้นำเข้ายื่นใบขนสินค้าขาเข้า พร้อมรายละเอียดข้อมูลใบขนสินค้าและชำระค่าธรรมเนียมกับเจ้าหน้าที่ศุลกากร ณ ท่า/ที่/สนามบินที่นำของเข้า</w:t>
        <w:br/>
        <w:t xml:space="preserve"/>
        <w:br/>
        <w:t xml:space="preserve"/>
        <w:br/>
        <w:t xml:space="preserve"> หลังจากนั้นระบบคอมพิวเตอร์ของศุลกากรจะตรวจสอบลายมือชื่ออิเล็กทรอนิกส์ (Digital Signature) กับระบบทะเบียนผู้มาติดต่อ และตรวจสอบความถูกต้องเบื้องต้นกับแฟ้มข้อมูลอ้างอิง การอนุมัติ/อนุญาตตามกฎหมายที่เกี่ยวข้อง และตรวจสอบบัญชีสินค้า (Manifest) สำหรับเรือโดยอัตโนมัติผ่านระบบคอมพิวเตอร์ หากพบข้อผิดพลาดในการตรวจสอบความถูกต้องเบื้องต้นกับแฟ้มข้อมูลอ้างอิง ระบบคอมพิวเตอร์ของศุลกากรจะตอบรหัสผิดพลาดกลับไปให้ผู้ส่งข้อมูล ให้ผู้นำของเข้า ทำการแก้ไขข้อมูลและส่งข้อมูลการแก้ไขใบขนสินค้าขาเข้าเข้าสู่ระบบคอมพิวเตอร์ของศุลกากร</w:t>
        <w:br/>
        <w:t xml:space="preserve"/>
        <w:br/>
        <w:t xml:space="preserve"> ถ้าไม่พบข้อผิดพลาดระบบคอมพิวเตอร์ของศุลกากรจะกำหนดเลขที่ใบขนสินค้าขาเข้าทางอิเล็กทรอนิกส์ จำนวน 14 หลัก ในสถานะพร้อมชำระค่าภาษีอากร (ถ้ามี) และแจ้งเลขที่ใบขนสินค้าขาเข้าทางระบบอิเล็กทรอนิกส์ตอบกลับไปยังผู้ส่งข้อมูล โดยมีประเภทของเอกสารหลักเป็น 0 โดยถือเป็นการยื่นเอกสาร ใบขนสินค้าขาเข้าต่อศุลกากรแล้ว</w:t>
        <w:br/>
        <w:t xml:space="preserve"/>
        <w:br/>
        <w:t xml:space="preserve"> ในส่วนการตรวจปล่อยสินค้าจะนำระบบบริหารความเสี่ยง (Risk Management) มาใช้ในการสั่งตรวจตามเงื่อนไขที่หน่วยงานศุลกากรกำหนดไว้ในระบบ Profile เพื่อจัดกลุ่มใบขนสินค้าเป็น 2 กลุ่ม คือ ให้เปิดตรวจ (Red Line) หรือให้ยกเว้นการตรวจ (Green Line) เมื่อระบบตรวจสอบเสร็จแล้วจะสั่งการตรวจให้อัตโนมัติพร้อมกับแจ้งตอบกลับไปยัง ผู้ประกอบการทราบทางอิเล็กทรอนิกส์ และแจ้งโรงพักสินค้าหรือท่าเทียบเรือทราบถึงผลการสั่งตรวจจากศุลกากร</w:t>
        <w:br/>
        <w:t xml:space="preserve"/>
        <w:br/>
        <w:t xml:space="preserve"/>
        <w:br/>
        <w:t xml:space="preserve"/>
        <w:tab/>
        <w:t xml:space="preserve">กรณียกเว้นการตรวจ (Green Line) ผู้ประกอบการสามารถติดต่อโรงพักสินค้าหรือท่าเทียบเรือรับมอบสินค้าทันที</w:t>
        <w:br/>
        <w:t xml:space="preserve"/>
        <w:tab/>
        <w:t xml:space="preserve">กรณีให้เปิดตรวจ (Red Line) ผู้ประกอบติดต่อโรงพักสินค้าหรือท่าเทียบเรือเพื่อเตรียมของเพื่อตรวจแล้วติดต่อเจ้าหน้าที่ศุลกากรเพื่อตรวจปล่อยสินค้า</w:t>
        <w:br/>
        <w:t xml:space="preserve"/>
        <w:tab/>
        <w:t xml:space="preserve">การชำระและวางเงินประกันค่าภาษีอากร ผู้ประกอบการสามารถเลือกชำระและเลือกวางเงินประกันที่สำนักงานศุลกากรหรือชำระและวางเงินประกันผ่านธนาคารทางอิเล็กทรอนิกส์ (e-Payment) ได้</w:t>
        <w:br/>
        <w:t xml:space="preserve"/>
        <w:tab/>
        <w:t xml:space="preserve">การวางค้ำประกันค่าภาษีอากร ผู้ประกอบการสามารถเลือกวางค้ำประกันที่สำนักงานศุลกากรหรือวางค้ำประกันผ่านทางธนาคารอิเล็กทรอนิกส์ (e-Guarantee) ได้</w:t>
        <w:br/>
        <w:t xml:space="preserve"/>
        <w:tab/>
        <w:t xml:space="preserve">การตรวจปล่อยสินค้าขาเข้า เป็นการตรวจปล่อย ณ ท่า หรือ ที่ หรือ สนามบินศุลกากรที่ระบุในบัญชีสินค้าว่ามีชื่อส่งของถึงแต่ผู้ประกอบการสามารถแจ้งความประสงค์ขอขนย้ายสินค้าไปตรวจปล่อยนอกเขตท่าหรือสนามบินที่นำเข้าได้ แต่ต้องแจ้งล่วงหน้าในขั้นตอนจัดเตรียมใบขนสินค้าก่อนส่งมายังระบบคอมพิวเตอร์ของกรมศุลกากร</w:t>
        <w:br/>
        <w:t xml:space="preserve"/>
        <w:br/>
        <w:t xml:space="preserve"/>
        <w:br/>
        <w:t xml:space="preserve">เงื่อนไขในการยื่นคำขอ</w:t>
        <w:br/>
        <w:t xml:space="preserve"/>
        <w:br/>
        <w:t xml:space="preserve"> ผู้ส่งสินค้าเข้าดังกล่าวจะต้องจดทะเบียนเป็นผู้ผ่านพิธีการศุลกากรหรือดำเนินการในกระบวนทางศุลกากร และดำเนินการเกี่ยวกับใบอนุญาตจากหน่วยงานต่าง ๆ ที่เกี่ยวข้องเรียบร้อยแล้ว</w:t>
        <w:br/>
        <w:t xml:space="preserve"/>
        <w:br/>
        <w:t xml:space="preserve">หมายเหตุ</w:t>
        <w:br/>
        <w:t xml:space="preserve"/>
        <w:br/>
        <w:t xml:space="preserve">1. การนับระยะเวลาตามกฎหมายที่กำหนดระยะเวลาข้างต้นจะเริ่มนับตั้งแต่ข้อมูลใบขนสินค้าเข้าสู่ระบบอิเล็กทรอนิกส์ของศุลกากรจนถึงออกจากระบบอิเล็กทรอนิกส์ของศุลกากร พร้อมทั้งออกเลขที่ใบขนสินค้า</w:t>
        <w:br/>
        <w:t xml:space="preserve"/>
        <w:br/>
        <w:t xml:space="preserve">2. ค่าธรรมเนียมในการดำเนินพิธีการทางศุลกากรที่ระบุไว้ในข้อ 5. จะยกเว้นสำหรับกรณีต่อไปนี้</w:t>
        <w:br/>
        <w:t xml:space="preserve">2.1) กรณีผู้นำของเข้าเป็นส่วนราชการ</w:t>
        <w:br/>
        <w:t xml:space="preserve">2.2) ใบขนสินค้าที่ได้รับสิทธิยกเว้นอากรตามพระราชกำหนดพิกัดอัตราศุลกากร พ.ศ. 2530 ภาค 4 ซึ่งได้แก่ ใบขนสินค้าขาเข้าในส่วน Import Declaration Detail สำแดง Import Tariff รหัสพิกัดศุลกากร ภาค 4 ของสินค้าที่ได้รับยกเว้นอากร มีค่าเป็น PART 4 ในทุกรายการของใบขนสินค้าขาเข้า</w:t>
        <w:br/>
        <w:t xml:space="preserve">2.3) ใบขนสินค้าขาเข้าพิเศษที่มีราคาของไม่เกิน 20,000 บาท ได้แก่ ใบขนสินค้าขาเข้า ที่มีประเภทใบขนสินค้า (Document Type) = 5 และมีราคาของที่นำเข้า (CIF) ไม่เกิน 20,000 บาท ต่อผู้นำของเข้าหนึ่งราย</w:t>
        <w:br/>
        <w:t xml:space="preserve">2.4) ใบขนส่งสินค้าขาเข้าสำหรับของที่ขนย้ายหรือโอนระหว่างผู้ประกอบการภายในประเทศที่ได้รับสิทธิประโยชน์ทางภาษีอากรภายในประเทศ ได้แก่ ใบขนสินค้าขาเข้า ที่มีประเภทใบขนสินค้า (Document Type) = A หรือ C ที่ใช้ในการขนย้ายหรือโอนของที่ได้รับสิทธิประโยชน์ทางภาษีอากรภายในประเทศ สำหรับคลังสินค้าทัณฑ์บนเขตปลอดอากร เขตประกอบการค้าเสรี มาตรา 19 ทวิ แห่งพระราชบัญญัติศุลกากร (ฉบับที่ 9) พ.ศ. 2482 ซึ่งแก้ไขเพิ่มเติมโดยพระราชบัญญัติศุลกากร (ฉบับที่ 18) พ.ศ. 2543 และพระราชบัญญัติส่งเสริมการลงทุน พ.ศ. 2520</w:t>
        <w:br/>
        <w:t xml:space="preserve">2.5) ใบขนสินค้าขาเข้าที่นำของออกจากคลังสินค้าทัณฑ์บน เขตปลอดอากรหรือเขตประกอบการค้าเสรี โดยผู้นำของออกที่มีสิทธิได้รับยกเว้นอากรตามพระราชกำหนดพิกัดอัตราศุลกากร พ.ศ. 2530 ภาค 4 หรือกฎหมายอื่น ได้แก่</w:t>
        <w:br/>
        <w:t xml:space="preserve">(2.5.1) ใบขนสินค้าขาเข้า ที่มีประเภทใบขนสินค้า (Document Type) = A หรือ C หรือ P ที่นำของออกจากคลังสินค้าทัณฑ์บน เขตปลอดอากร เขตประกอบการค้าเสรี โดยในส่วน Import Declaration Detail สำแดง Import Tariff รหัสพิกัดศุลกากร ภาค 4 ของสินค้าที่ได้รับยกเว้นอากร มีค่าเป็น PART 4 ในทุกรายการของใบขนสินค้า หรือ</w:t>
        <w:br/>
        <w:t xml:space="preserve">(2.5.2) ผู้นำของออกที่มีสิทธิได้รับเว้นอากรตามกฎหมายอื่น เช่น พระราชบัญญัติปิโตรเลียม พ.ศ. 2518 โดยสำแดง รหัสสิทธิพิเศษ (Privilege Code) มีค่าเป็น 005 ในทุกรายการของใบขนสินค้าขาเข้า</w:t>
        <w:br/>
        <w:t xml:space="preserve">2.6) ใบขนส่งสินค้าขาเข้าที่นำของซึ่งผลิต ผสม ประกอบ หรือบรรจุตามมาตรา 19 ทวิ แห่งพระราชบัญญัติศุลกากร (ฉบับที่ 9) พ.ศ. 2482 ซึ่งแก้ไขเพิ่มเติมโดยพระราชบัญญัติศุลกากร (ฉบับที่ 18) พ.ศ. 2543 และจำหน่ายให้แก่ผู้มีสิทธิได้รับยกเว้นอากรตามพระราชกำหนดพิกัดอัตราศุลกากร พ.ศ. 2530 ภาค 4 หรือกฎหมายอื่น ได้แก่</w:t>
        <w:br/>
        <w:t xml:space="preserve">(2.6.1) ใบขนสินค้าขาเข้า ที่มีประเภทใบขนสินค้า (Document Type) = A หรือ P ที่นำของซึ่งผลิต ผสม ประกอบ หรือบรรจุตามมาตรา 19 ทวิ แห่งพระราชบัญญัติศุลกากร (ฉบับที่ 9) พ.ศ. 2482 ซึ่งแก้ไขเพิ่มเติมโดยพระราชบัญญัติศุลกากร (ฉบับที่ 18) พ.ศ. 2543 และโดยในส่วน Import Declaration Detail สำแดง Import Tariff รหัสพิกัดศุลกากร ภาค 4 ของสินค้าที่ได้รับยกเว้นอากร มีค่าเป็น PART 4 ในทุกรายการของใบขนสินค้า หรือ</w:t>
        <w:br/>
        <w:t xml:space="preserve">(2.6.2) จำหน่ายให้แก่ผู้มีสิทธิได้รับยกเว้นอากรตามกฎหมายอื่น เช่น พระราชบัญญัติปิโตรเลียม พ.ศ. 2518 โดยสำแดง รหัสสิทธิพิเศษ (Privilege Code) มีค่าเป็น 005 ในทุกรายการของใบขนสินค้าขาเข้า</w:t>
        <w:br/>
        <w:t xml:space="preserve"/>
        <w:br/>
        <w:t xml:space="preserve">3. ค่าธรรมเนียมคู่มือสำหรับประชาชนแผ่นละ 40 บาท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(ในกรณีที่ผู้นำเข้าต้องการใช้บริการเคาน์เตอร์บริการของด่านศุลกากรปาดังเบซาร์ กรุณาติดต่อในเวลาราชการ (8.30-16.30 น.))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ระบบ e-Customs หรือ ด่านศุลกากรปาดังเบซาร์ ต.ปาดังเบซาร์ อ.สะเดา จ.สงขลา 90240 โทร. 0-7452-1030/เว็บไซท์และช่องทางออนไลน์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รับข้อมูลใบขนสินค้าขาเข้าอิเล็กทรอนิกส์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การรับส่งข้อมูลจากผู้นำของเข้าทางอิเล็กทรอนิกส์นับจากระยะเวลาที่ข้อมูลใบขนสินค้าเข้าสู่ระบบ ผ่านการประมวลผลและส่งออกจาก Gateway ทั้งนี้ จำนวนรายการสินค้าในใบขนสินค้าฉบับหนึ่งๆ ต้องไม่เกิน 20 รายการ)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ลายมือชื่ออิเล็กทรอนิกส์ (Digital signature)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(ผู้ให้บริการ Internet)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ค่าธรรมเนียมในการผ่านพิธีการศุลกากรและตรวจปล่อยสินค้าต่อใบขนสินค้า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Support desk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(กรณีที่มีปัญหาในการรับส่งข้อมูล : ติดต่อ 02-667-7310-9)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0 2667 6207)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ข้อมูลใบขนสินค้าขาเข้าตามโครงสร้างที่กรมศุลกากรกำหนด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(ไฟล์ประกาศกรมศุลกากรที่ 23/2556 ลงวันที่ 19 กุมภาพันธ์ พ.ศ. 2556 เรื่อง คู่มือการผ่านพิธีการศุลกากรทางอิเล็กทรอนิกส์ว่าด้วยกระบวนการทางศุลกากรสำหรับการนำเข้า (e-Import))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