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สทก. การตรวจปล่อยสินค้าขาออกทางเรือ “กรณีมีคำสั่ง ไม่ต้องตรวจสอบ พิกัด ราคา และของ”  (Green Line)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ด่านศุลกากรสงขลา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กระทรวงการคลัง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หลักเกณฑ์ </w:t>
        <w:br/>
        <w:t xml:space="preserve">1. ก่อนการขนย้ายสินค้าเข้าไปในสถานีรับบรรทุก หรือก่อนผ่านจุดรับบรรทุกที่กำหนดให้ผู้รับผิดชอบการบรรจุดำเนินการ ดังนี้</w:t>
        <w:br/>
        <w:t xml:space="preserve">1.1 กรณีบรรจุสินค้าเข้าตู้คอนเทนเนอร์เพื่อการส่งออก ให้พนักงานขับรถที่บรรทุกตู้คอนเทนเนอร์หรือยานพาหนะที่ใช้ในการขนย้ายสินค้าไปยังท่า หรือที่ เพื่อดำเนินการชั่งน้ำหนักของตู้คอนเทนเนอร์ก่อนที่จะถึงสถานีรับบรรทุก</w:t>
        <w:br/>
        <w:t xml:space="preserve">1.2 หากโดยสภาพของการขนย้ายสินค้าแล้วไม่อาจทำการชั่งน้ำหนักสินค้าขณะทำการขนถ่ายได้ในคราวเดียวกัน ให้ผู้รับผิดชอบการบรรจุดำเนินการขนย้ายสินค้าจนเสร็จสิ้นตามใบขนสินค้าขาออก</w:t>
        <w:br/>
        <w:t xml:space="preserve"/>
        <w:br/>
        <w:t xml:space="preserve">2. ให้ผู้ประกอบการทำเนียบท่าเรือ ผู้ประกอบการสถานที่ที่ส่งออก ทำการชั่งน้ำหนักของตู้คอนเทนเนอร์หรือสินค้า แล้วออกใบตรวจรับสภาพตู้สินค้าหรือใบชั่ง (Equipment Interchange Receipt : EIR) พร้อมกับบันทึกข้อมูลใบตรวจรับสภาพตู้สินค้าหรือใบชั่งสินค้าตามมาตรฐานที่ศุลกากรกำหนดเข้าสู่ระบบคอมพิวเตอร์ของศุลกากร เพื่อใช้ประกอบการตัดบัญชีใบกำกับการขนย้ายสินค้าของศุลกากร</w:t>
        <w:br/>
        <w:t xml:space="preserve"/>
        <w:br/>
        <w:t xml:space="preserve">วิธีการ</w:t>
        <w:br/>
        <w:t xml:space="preserve"/>
        <w:br/>
        <w:t xml:space="preserve"> 1. การตรวจสอบและตัดบัญชีใบกำกับการขนย้ายสินค้า</w:t>
        <w:br/>
        <w:t xml:space="preserve"/>
        <w:br/>
        <w:t xml:space="preserve">  1.1 ให้พนักงานขับรถหรือตัวแทนผู้รับผิดชอบการบรรจุแสดงใบกำกับการขนย้ายสินค้า (ถ้ามี) หรือแจ้งเลขที่ใบกำกับการขนย้ายสินค้าที่ระบบคอมพิวเตอร์ของกรมศุลกากรได้กำหนดให้พร้อมแนบใบตรวจรับสภาพตู้หรือใบชั่งสินค้า (ถ้ามี) แก่เจ้าหน้าที่ศุลกากรที่ประจำสถานีรับบรรทุกหรือจุดรับบรรทุกสินค้าที่กำหนด นั้น</w:t>
        <w:br/>
        <w:t xml:space="preserve"/>
        <w:br/>
        <w:t xml:space="preserve">  1.2 เจ้าหน้าที่ศุลกากรจะตรวจสอบเลขที่ใบกำกับการขนย้ายสินค้าที่ได้รับแจ้งว่ามีข้อมูลอยู่ในระบบคอมพิวเตอร์ของกรมศุลกากรแล้ว</w:t>
        <w:br/>
        <w:t xml:space="preserve"/>
        <w:br/>
        <w:t xml:space="preserve">  1.3 ของที่จะนำผ่านสถานีรับบรรทุกหรือจุดรับบรรทุกสินค้าที่กำหนดต้องถูกต้องตรงตามข้อมูลใบกำกับการขนย้ายสินค้า ดังนี้</w:t>
        <w:br/>
        <w:t xml:space="preserve"/>
        <w:br/>
        <w:t xml:space="preserve"> 1.3.1 ในกรณีบรรจุสินค้าเข้าตู้คอนเทนเนอร์ เลขที่ตู้คอนเทนเนอร์ที่จะนำผ่านสถานีรับบรรทุกหรือจุดรับบรรทุกสินค้าที่กำหนดต้องถูกต้องตรงตามข้อมูลใบกำกับการขนย้ายสินค้าในระบบคอมพิวเตอร์ของศุลกากร เท่านั้น</w:t>
        <w:br/>
        <w:t xml:space="preserve"/>
        <w:br/>
        <w:t xml:space="preserve"> </w:t>
        <w:br/>
        <w:t xml:space="preserve"/>
        <w:br/>
        <w:t xml:space="preserve">  1.4 การตรวจสอบตัดบัญชีใบกำกับการขนย้ายสินค้า</w:t>
        <w:br/>
        <w:t xml:space="preserve"/>
        <w:br/>
        <w:t xml:space="preserve"> 1.4.1 เจ้าหน้าที่ศุลกากรจะตรวจสอบข้อมูลใบขนสินค้าขาออกที่ระบุเลขที่ไว้ในใบกำกับการขนย้ายสินค้าว่าอยู่ในเงื่อนไขความเสี่ยงที่ระบบคอมพิวเตอร์ของศุลกากรกำหนดว่ารับได้ แล้วทำการตัดบัญชีใบกำกับการขนย้ายสินค้าดังกล่าว และอนุญาตให้นำสินค้าผ่านสถานีรับบรรทุกหรือจุดรับบรรทุกสินค้าที่กำหนดได้</w:t>
        <w:br/>
        <w:t xml:space="preserve"/>
        <w:br/>
        <w:t xml:space="preserve">  1.5 ในวันทำการเดียวกันที่ทำการตัดบัญชีใบกำกับการขนย้ายสินค้า ระบบคอมพิวเตอร์ของศุลกากรจะตอบกลับข้อมูลการตัดบัญชีใบกำกับการขนย้ายสินค้าไปให้ผู้ส่งข้อมูลใบขนสินค้าขาออกที่ปรากฏเลขที่ใบขนสินค้าในใบกำกับการขนย้ายสินค้านั้น ทราบถึงการตัดบัญชีใบกำกับการขนย้ายสินค้าดังกล่าว</w:t>
        <w:br/>
        <w:t xml:space="preserve"/>
        <w:br/>
        <w:t xml:space="preserve">เงื่อนไข</w:t>
        <w:br/>
        <w:t xml:space="preserve">ผู้ส่งสินค้าออกดังกล่าวจะต้องจดทะเบียนเป็นผู้ผ่านพิธีการศุลกากรหรือดำเนินการในกระบวนทางศุลกากร และดำเนินการเกี่ยวกับใบอนุญาต/ใบรับรองจากหน่วยงานต่าง ๆ ที่เกี่ยวข้องเรียบร้อยแล้ว</w:t>
        <w:br/>
        <w:t xml:space="preserve"/>
        <w:br/>
        <w:t xml:space="preserve">หมายเหตุ</w:t>
        <w:br/>
        <w:t xml:space="preserve"/>
        <w:br/>
        <w:t xml:space="preserve">1. ใบอนุญาต/ใบรับรองของหน่วยงานที่เกี่ยวข้อง ต้องผ่านการอนุมัติ/อนุญาต/รับรอง จากหน่วยงานอื่นที่เกี่ยวข้องกับการศุลกากร ให้ผู้ส่งออกนำเอกสาร เช่น เอกสารเพื่อประกอบการใช้สิทธิพิเศษทางภาษีอากร ใบอนุญาต / ใบทะเบียน / หนังสืออนุญาต ตามเงื่อนไขของกฎหมายที่เกี่ยวข้อง สำหรับของที่ส่งออกตามบัญชีราคาสินค้าที่ส่งออกเป็นเฉพาะครั้งก่อนการส่งออก ยื่นต่อเจ้าหน้าที่ภายใน 15 วันนับแต่วันที่ตัดบัญชีใบกำกับการขนย้ายสินค้า</w:t>
        <w:br/>
        <w:t xml:space="preserve"/>
        <w:br/>
        <w:t xml:space="preserve">2. กรณีหน่วยควบคุมทางศุลกากรของกรมศุลกากร มีเหตุอันควรสงสัยในความจริงและความถูกต้องของข้อมูลอันอาจจะเป็นการสำแดงเท็จเพื่อหลีกเลี่ยงอากรหรือข้อห้ามข้อจำกัด หรือมีเหตุอันควรสงสัยว่ามีการลักลอบหนีศุลกากร สำหรับสินค้าที่จะทำการส่งออก เมื่อมีการตัดบัญชีใบกำกับการขนย้ายสินค้า (Matching) แล้ว ให้ดำเนินการตรวจสอบสินค้าดังนี้</w:t>
        <w:br/>
        <w:t xml:space="preserve"/>
        <w:br/>
        <w:t xml:space="preserve">-ใบขนสินค้าซึ่งมีคำสั่ง &amp;quot;ไม่ต้องตรวจสอบ พิกัด ราคา และของ&amp;quot;(Green Line) </w:t>
        <w:br/>
        <w:t xml:space="preserve"/>
        <w:br/>
        <w:t xml:space="preserve">1.ให้หน่วยงานที่มีเหตุแห่งความสงสัย มีหนังสือแจ้งให้หน่วยบริการศุลกากร ณ ท่า หรือที่ ส่งออกทราบ เพื่อประสานงานในการตรวจสอบสินค้าที่ต้องสงสัย โดยแจ้งเลขที่ใบขนสินค้า หรือเลขที่ใบกำกับการขนย้ายสินค้า หรือเลขที่ตู้คอนเทนเนอร์ เป็นต้น</w:t>
        <w:br/>
        <w:t xml:space="preserve"/>
        <w:br/>
        <w:t xml:space="preserve">2. ในการตรวจสอบของที่ต้องสงสัย ให้สามารถทำการตรวจสอบโดยเอกซเรย์ตู้คอนเทนเนอร์หรือยานพาหนะที่ใช้ในการขนส่งหรือเปิดตรวจสินค้าก็ได้ </w:t>
        <w:br/>
        <w:t xml:space="preserve"/>
        <w:br/>
        <w:t xml:space="preserve">3. ให้เจ้าหน้าที่หน่วยงานที่แจ้งเหตุแห่งความสงสัยเป็นผู้ตรวจสอบของนั้น</w:t>
        <w:br/>
        <w:t xml:space="preserve"/>
        <w:br/>
        <w:t xml:space="preserve"> - กรณีตรวจสอบไม่พบความผิด เมื่อตรวจสอบแล้วเสร็จให้จัดทำบันทึกผลการตรวจสอบ และมอบสำเนาให้หน่วยบริการศุลกากร ณ ท่า หรือที่ ที่ส่งของออกจัดเก็บไว้ 1 ชุด </w:t>
        <w:br/>
        <w:t xml:space="preserve"/>
        <w:br/>
        <w:t xml:space="preserve">-กรณีตรวจสอบพบความผิด ให้เจ้าหน้าที่ผู้ตรวจสอบดาเนินการตามระเบียบปฏิบัติในเรื่องนั้นๆ ต่อไป</w:t>
        <w:br/>
        <w:t xml:space="preserve"/>
        <w:br/>
        <w:t xml:space="preserve">3. ค่าธรรมเนียมคู่มือสำหรับประชาชนแผ่นละ 40 บาท</w:t>
        <w:br/>
        <w:t xml:space="preserve"/>
        <w:br/>
        <w:t xml:space="preserve"/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(หากมีการขอรับบริการนอกเวลาราชการ หรือวันหยุดราชการให้ยื่นคำร้องขอทำการในเวลาราชการและชำระค่าธรรมเนียมตามระเบียบ (ถ้ามี))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ด่านศุลกากรสงขลา ต.หัวเขา อ.สิงหนคร จ.สงขลา </w:t>
              <w:br/>
              <w:t xml:space="preserve">โทรศัพท์ 0 7433 1397 โทรสาร 0 7433 1310/ติดต่อด้วยตนเอง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5 นาที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พนักงานขับรถหรือตัวแทนผู้รับผิดชอบการบรรจุแสดงใบกำกับการขนย้ายสินค้า  หรือแจ้งเลขที่ใบกำกับการขนย้ายสินค้าที่ระบบคอมพิวเตอร์ของกรมศุลกากรได้กำหนดให้พร้อมแนบใบตรวจรับสภาพตู้หรือใบชั่งสินค้า แก่เจ้าหน้าที่ศุลกากร/เจ้าหน้าที่รับคำร้อง/ตรวจสอบเอกสาร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จ้าหน้าที่ศุลกากรจะตรวจสอบข้อมูลใบขนสินค้าขาออกที่ระบุเลขที่ไว้ในใบกำกับการขนย้ายสินค้าว่าอยู่ในเงื่อนไขความเสี่ยงที่ระบบคอมพิวเตอร์ของกรมศุลกากรกำหนดว่ารับได้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ศุลกากรจะตรวจสอบข้อมูลใบขนสินค้าขาออกที่ระบุเลขที่ไว้ในใบกำกับการขนย้ายสินค้าว่าอยู่ในเงื่อนไขความเสี่ยงที่ระบบคอมพิวเตอร์ของกรมศุลกากรกำหนดว่ารับได้ และจะทำการตัดบัญชีใบกำกับการขนย้ายสินค้า โดยบันทึกข้อมูลตรวจปล่อยในระบบคอมพิวเตอร์ของกรมศุลกากร  และอนุญาตให้นำสินค้าผ่านสถานีรับบรรทุกหรือจุดรับบรรทุกสินค้าที่กำหนด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(หากเครื่องพิวเตอร์ขัดข้อง หรือระบบคอมพิวเตอร์ของกรมฯ ใช้งานไม่ได้ในขณะนั้น อาจทำให้ไม่เป็นไปตามกำหนดเวลาที่ให้บริการ)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(รับรองสำเนาถูกต้องและประทับตรานิติบุคคล(ถ้ามี))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หนังสือเดินทาง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กรมการกงสุล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ใบอนุญาตขับขี่รถยนต์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กรมการขนส่งทางบก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สำเนาใบกำกับการขนย้ายสินค้า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(ผู้รับผิดชอบการบรรจุ)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ใบตรวจรับสภาพตู้สินค้าหรือใบชั่งน้ำหนัก(Equipment interchange receipt :EIR)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(ผู้ประกอบ การท่าเรือ)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ใบอนุญาต/ใบรับรองของหน่วยงานที่เกี่ยวข้อง(ถ้ามี)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(ผู้ประกอบ การท่าเรือ)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ใบอนุญาต/ใบรับรองของหน่วยงานที่เกี่ยวข้อง(ถ้ามี)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(หน่วยงานที่เกี่ยวข้อง)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ใบเสร็จค่าชำระภาษี(ถ้ามี)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10075" w:type="dxa"/>
            <w:gridSpan w:val="3"/>
          </w:tcPr>
          <w:p w:rsidR="008D6120" w:rsidRPr="00812105" w:rsidRDefault="00812105" w:rsidP="00CD595C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  <w:cs/>
              </w:rPr>
            </w:pPr>
            <w:r w:rsidRPr="00812105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ไม่มีข้อมูลค่าธรรมเนียม</w:t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ระฆังศุลกากรของด่านศุลกากรสงขลา  โทรศัพท์ 0 7433 1397 โทรสาร 0 7433 1310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โทรศัพท์สายด่วนศุลกากร 1332 ในวันและเวลาราชการ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โทรสารหมายเลข 0 2671 5250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ไปรษณีย์โดยทำเป็นหนังสือส่งมาที่ กลุ่มคุ้มครองและส่งเสริมจริยธรรม กรมศุลกากร ถนนสุนทรโกษา แขวงคลองเตย เขตคลองเตย กรุงเทพมหานคร 10110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จดหมายอิเล็กทรอนิกส์ (e-Mail) ที่ ctc@customs.go.th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สื่อสารมวลชน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(กรณีที่หัวหน้ากลุ่มคุ้มครองจริยธรรมของกรมศุลกากรเห็นควรรับเป็นเรื่องร้องเรียน)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ติดต่อด้วยตนเองในวันและเวลาราชการ ณ กลุ่มคุ้มครองและส่งเสริมจริยธรรม กรมศุลกากร ถนนสุนทรโกษา แขวงคลองเตย เขตคลองเตย กรุงเทพมหานครหมายเหตุ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ศูนย์บริการศุลกากร (โทร. 1164) หรือหน่วยงานภาครัฐอื่น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ExportChart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C14D7A" w:rsidRDefault="000B2BF5" w:rsidP="00C14D7A">
      <w:pPr>
        <w:spacing w:after="0"/>
        <w:jc w:val="right"/>
        <w:rPr>
          <w:rFonts w:ascii="Tahoma" w:hAnsi="Tahoma" w:cs="Tahoma"/>
          <w:color w:val="BFBFBF" w:themeColor="background1" w:themeShade="BF"/>
          <w:sz w:val="16"/>
          <w:szCs w:val="16"/>
        </w:rPr>
      </w:pPr>
      <w:r w:rsidRPr="00C14D7A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เอกสารฉบับนี้ดาวน์โหลดจากเว็บไซต์ศูนย์รวมข้อมูลการติดต่อราชการ</w:t>
      </w:r>
    </w:p>
    <w:p w:rsidR="000B2BF5" w:rsidRDefault="00DF19F7" w:rsidP="00E269AE">
      <w:pPr>
        <w:spacing w:after="0"/>
        <w:jc w:val="right"/>
        <w:rPr>
          <w:rFonts w:ascii="Tahoma" w:hAnsi="Tahoma" w:cs="Tahoma"/>
          <w:sz w:val="16"/>
          <w:szCs w:val="20"/>
        </w:rPr>
      </w:pPr>
      <w:hyperlink w:history="1" r:id="rId5">
        <w:r w:rsidR="0018011C" w:rsidRPr="00761570">
          <w:rPr>
            <w:rStyle w:val="Hyperlink"/>
            <w:rFonts w:ascii="Tahoma" w:hAnsi="Tahoma" w:cs="Tahoma"/>
            <w:sz w:val="16"/>
            <w:szCs w:val="16"/>
          </w:rPr>
          <w:t>www.info.go.th</w:t>
        </w:r>
      </w:hyperlink>
    </w:p>
    <w:p w:rsidR="0018011C" w:rsidRPr="0018011C" w:rsidRDefault="0018011C" w:rsidP="0018011C">
      <w:pPr>
        <w:spacing w:after="0" w:line="240" w:lineRule="auto"/>
        <w:jc w:val="right"/>
        <w:rPr>
          <w:rFonts w:ascii="Tahoma" w:hAnsi="Tahoma" w:cs="Tahoma"/>
          <w:b/>
          <w:bCs/>
          <w:color w:val="BFBFBF" w:themeColor="background1" w:themeShade="BF"/>
          <w:sz w:val="16"/>
          <w:szCs w:val="16"/>
        </w:rPr>
      </w:pPr>
      <w:r w:rsidRPr="0018011C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วันที่คู่มือมีผลบังคับใช้</w:t>
      </w:r>
      <w:r w:rsidRPr="0018011C">
        <w:rPr>
          <w:rFonts w:ascii="Tahoma" w:hAnsi="Tahoma" w:cs="Tahoma"/>
          <w:color w:val="BFBFBF" w:themeColor="background1" w:themeShade="BF"/>
          <w:sz w:val="16"/>
          <w:szCs w:val="16"/>
        </w:rPr>
        <w:t xml:space="preserve">: </w:t>
      </w:r>
      <w:r>
        <w:rPr>
          <w:rFonts w:ascii="Tahoma" w:hAnsi="Tahoma" w:cs="Tahoma"/>
          <w:noProof/>
          <w:color w:val="BFBFBF" w:themeColor="background1" w:themeShade="BF"/>
          <w:sz w:val="16"/>
          <w:szCs w:val="16"/>
        </w:rPr>
        <w:t>23/07/2558</w:t>
      </w:r>
    </w:p>
    <w:sectPr w:rsidR="0018011C" w:rsidRP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14D7A"/>
    <w:rsid w:val="00CA3FE9"/>
    <w:rsid w:val="00CC02C2"/>
    <w:rsid w:val="00CD595C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nfo.go.th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80364E"/>
    <w:rsid w:val="008B7B0C"/>
    <w:rsid w:val="009B4526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64E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03DD-0CB0-4FD5-BA10-9142BB4E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3</cp:revision>
  <dcterms:created xsi:type="dcterms:W3CDTF">2015-07-20T08:12:00Z</dcterms:created>
  <dcterms:modified xsi:type="dcterms:W3CDTF">2015-07-20T08:24:00Z</dcterms:modified>
</cp:coreProperties>
</file>